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7B95" w14:textId="77777777" w:rsidR="00691EF5" w:rsidRPr="00691EF5" w:rsidRDefault="00691EF5" w:rsidP="00691EF5">
      <w:pPr>
        <w:jc w:val="right"/>
        <w:rPr>
          <w:rFonts w:ascii="Avenir Next" w:hAnsi="Avenir Next" w:cs="Times New Roman"/>
          <w:i/>
          <w:iCs/>
          <w:color w:val="4F81BD" w:themeColor="accent1"/>
          <w:sz w:val="20"/>
          <w:szCs w:val="20"/>
        </w:rPr>
      </w:pPr>
      <w:r w:rsidRPr="00691EF5">
        <w:rPr>
          <w:rFonts w:ascii="Avenir Next" w:hAnsi="Avenir Next" w:cs="Times New Roman"/>
          <w:i/>
          <w:iCs/>
          <w:color w:val="4F81BD" w:themeColor="accent1"/>
          <w:sz w:val="20"/>
          <w:szCs w:val="20"/>
        </w:rPr>
        <w:t>Pielikums Nr. 1</w:t>
      </w:r>
    </w:p>
    <w:p w14:paraId="4326FE26" w14:textId="2F8E4788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  <w:r w:rsidRPr="004D2683">
        <w:rPr>
          <w:rFonts w:ascii="Trebuchet MS" w:hAnsi="Trebuchet MS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BDF5B7E" wp14:editId="32C5C777">
            <wp:simplePos x="0" y="0"/>
            <wp:positionH relativeFrom="column">
              <wp:posOffset>3991659</wp:posOffset>
            </wp:positionH>
            <wp:positionV relativeFrom="paragraph">
              <wp:posOffset>95250</wp:posOffset>
            </wp:positionV>
            <wp:extent cx="1765300" cy="647065"/>
            <wp:effectExtent l="0" t="0" r="0" b="635"/>
            <wp:wrapTight wrapText="bothSides">
              <wp:wrapPolygon edited="0">
                <wp:start x="0" y="0"/>
                <wp:lineTo x="0" y="21197"/>
                <wp:lineTo x="21445" y="21197"/>
                <wp:lineTo x="21445" y="0"/>
                <wp:lineTo x="0" y="0"/>
              </wp:wrapPolygon>
            </wp:wrapTight>
            <wp:docPr id="5" name="Picture 5" descr="page1image12933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933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683">
        <w:rPr>
          <w:rFonts w:ascii="Trebuchet MS" w:hAnsi="Trebuchet MS"/>
          <w:lang w:val="en-GB"/>
        </w:rPr>
        <w:fldChar w:fldCharType="begin"/>
      </w:r>
      <w:r w:rsidR="00F50373" w:rsidRPr="004D2683">
        <w:rPr>
          <w:rFonts w:ascii="Trebuchet MS" w:hAnsi="Trebuchet MS"/>
          <w:lang w:val="en-GB"/>
        </w:rPr>
        <w:instrText xml:space="preserve"> INCLUDEPICTURE "C:\\var\\folders\\64\\qyjtg5sj4g15slg4dzx9vrp40000gn\\T\\com.microsoft.Word\\WebArchiveCopyPasteTempFiles\\page1image12931552" \* MERGEFORMAT </w:instrText>
      </w:r>
      <w:r w:rsidRPr="004D2683">
        <w:rPr>
          <w:rFonts w:ascii="Trebuchet MS" w:hAnsi="Trebuchet MS"/>
          <w:lang w:val="en-GB"/>
        </w:rPr>
        <w:fldChar w:fldCharType="end"/>
      </w:r>
      <w:r w:rsidRPr="004D2683">
        <w:rPr>
          <w:rFonts w:ascii="Trebuchet MS" w:hAnsi="Trebuchet MS"/>
          <w:lang w:val="en-GB"/>
        </w:rPr>
        <w:fldChar w:fldCharType="begin"/>
      </w:r>
      <w:r w:rsidR="00F50373" w:rsidRPr="004D2683">
        <w:rPr>
          <w:rFonts w:ascii="Trebuchet MS" w:hAnsi="Trebuchet MS"/>
          <w:lang w:val="en-GB"/>
        </w:rPr>
        <w:instrText xml:space="preserve"> INCLUDEPICTURE "C:\\var\\folders\\64\\qyjtg5sj4g15slg4dzx9vrp40000gn\\T\\com.microsoft.Word\\WebArchiveCopyPasteTempFiles\\page1image12933008" \* MERGEFORMAT </w:instrText>
      </w:r>
      <w:r w:rsidRPr="004D2683">
        <w:rPr>
          <w:rFonts w:ascii="Trebuchet MS" w:hAnsi="Trebuchet MS"/>
          <w:lang w:val="en-GB"/>
        </w:rPr>
        <w:fldChar w:fldCharType="end"/>
      </w:r>
    </w:p>
    <w:p w14:paraId="49F0E101" w14:textId="77777777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  <w:r w:rsidRPr="004D2683">
        <w:rPr>
          <w:rFonts w:ascii="Trebuchet MS" w:hAnsi="Trebuchet MS"/>
          <w:noProof/>
          <w:lang w:val="en-GB"/>
        </w:rPr>
        <w:drawing>
          <wp:anchor distT="0" distB="0" distL="114300" distR="114300" simplePos="0" relativeHeight="251660288" behindDoc="0" locked="0" layoutInCell="1" allowOverlap="1" wp14:anchorId="5232DA48" wp14:editId="03ECDB18">
            <wp:simplePos x="0" y="0"/>
            <wp:positionH relativeFrom="column">
              <wp:posOffset>30431</wp:posOffset>
            </wp:positionH>
            <wp:positionV relativeFrom="paragraph">
              <wp:posOffset>60960</wp:posOffset>
            </wp:positionV>
            <wp:extent cx="1673860" cy="358775"/>
            <wp:effectExtent l="0" t="0" r="2540" b="0"/>
            <wp:wrapSquare wrapText="bothSides"/>
            <wp:docPr id="4" name="Picture 4" descr="page1image12931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29315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4BE1A" w14:textId="77777777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</w:p>
    <w:p w14:paraId="202DC403" w14:textId="77777777" w:rsidR="00D30E58" w:rsidRPr="004D2683" w:rsidRDefault="00D30E58" w:rsidP="004D2683">
      <w:pPr>
        <w:ind w:right="-31"/>
        <w:rPr>
          <w:rFonts w:ascii="Trebuchet MS" w:hAnsi="Trebuchet MS"/>
          <w:lang w:val="en-GB"/>
        </w:rPr>
      </w:pPr>
    </w:p>
    <w:p w14:paraId="16C57565" w14:textId="77777777" w:rsidR="00A41ACE" w:rsidRPr="004D2683" w:rsidRDefault="00D30E58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8" w:lineRule="auto"/>
        <w:ind w:right="-31"/>
        <w:rPr>
          <w:rFonts w:ascii="Trebuchet MS" w:eastAsia="Trebuchet MS" w:hAnsi="Trebuchet MS" w:cs="Trebuchet MS"/>
          <w:color w:val="000000"/>
          <w:sz w:val="55"/>
          <w:szCs w:val="55"/>
          <w:lang w:val="en-GB"/>
        </w:rPr>
      </w:pPr>
      <w:r w:rsidRPr="004D2683">
        <w:rPr>
          <w:rFonts w:ascii="Trebuchet MS" w:hAnsi="Trebuchet MS"/>
          <w:color w:val="00000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55"/>
          <w:szCs w:val="55"/>
          <w:lang w:val="en-GB"/>
        </w:rPr>
        <w:t xml:space="preserve">Mass-manufacturable gut-on-chip </w:t>
      </w:r>
    </w:p>
    <w:p w14:paraId="3035500D" w14:textId="59ABAD0C" w:rsidR="00A96364" w:rsidRPr="004D2683" w:rsidRDefault="00B43101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7" w:line="257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Institute of </w:t>
      </w:r>
      <w:proofErr w:type="gramStart"/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Solid State</w:t>
      </w:r>
      <w:proofErr w:type="gramEnd"/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Physics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 University of Latvia (ISSP UL) is developing miniature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human organ replicas,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known as organs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on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chip</w:t>
      </w:r>
      <w:r w:rsidR="000607F2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(OOC)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 to help pharmaceutical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companies, contract research organisations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, nutrition &amp; supplement manufacturers </w:t>
      </w:r>
      <w:r w:rsidR="000A568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as well as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academic institutions perform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pre-clinical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tests in human-</w:t>
      </w:r>
      <w:r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relevant tissue models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.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Since around 60% of commercially available drug products are administered </w:t>
      </w:r>
      <w:r w:rsidR="00BE62C0" w:rsidRPr="00EA7529">
        <w:rPr>
          <w:rFonts w:ascii="Trebuchet MS" w:eastAsia="Trebuchet MS" w:hAnsi="Trebuchet MS" w:cs="Trebuchet MS"/>
          <w:i/>
          <w:iCs/>
          <w:color w:val="000000"/>
          <w:sz w:val="20"/>
          <w:szCs w:val="20"/>
          <w:lang w:val="en-GB"/>
        </w:rPr>
        <w:t>via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the oral route</w:t>
      </w:r>
      <w:r w:rsidR="000A568A" w:rsidRPr="004D2683">
        <w:rPr>
          <w:rStyle w:val="FootnoteReference"/>
          <w:rFonts w:ascii="Trebuchet MS" w:eastAsia="Trebuchet MS" w:hAnsi="Trebuchet MS" w:cs="Trebuchet MS"/>
          <w:color w:val="000000"/>
          <w:sz w:val="20"/>
          <w:szCs w:val="20"/>
          <w:lang w:val="en-GB"/>
        </w:rPr>
        <w:footnoteReference w:id="1"/>
      </w:r>
      <w:r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o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ur current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work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is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focused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on a patent pending gut</w:t>
      </w:r>
      <w:r w:rsidR="00B553DC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on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chip model</w:t>
      </w:r>
      <w:r w:rsidR="00BE62C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with a particular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interest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 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microbiota 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applications</w:t>
      </w:r>
      <w:r w:rsidR="001E1C40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.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</w:t>
      </w:r>
    </w:p>
    <w:p w14:paraId="084CCA95" w14:textId="0B653237" w:rsidR="00A41ACE" w:rsidRPr="004D2683" w:rsidRDefault="00A96364" w:rsidP="004D2683">
      <w:pPr>
        <w:rPr>
          <w:rFonts w:ascii="Trebuchet MS" w:hAnsi="Trebuchet MS"/>
          <w:lang w:val="en-GB"/>
        </w:rPr>
      </w:pPr>
      <w:r w:rsidRPr="004D2683">
        <w:rPr>
          <w:rFonts w:ascii="Trebuchet MS" w:eastAsia="Trebuchet MS" w:hAnsi="Trebuchet MS" w:cs="Trebuchet MS"/>
          <w:noProof/>
          <w:color w:val="000000"/>
          <w:sz w:val="20"/>
          <w:szCs w:val="20"/>
          <w:lang w:val="en-GB"/>
        </w:rPr>
        <w:drawing>
          <wp:anchor distT="0" distB="0" distL="114300" distR="114300" simplePos="0" relativeHeight="251663360" behindDoc="1" locked="0" layoutInCell="1" allowOverlap="1" wp14:anchorId="6604CF7A" wp14:editId="0199F026">
            <wp:simplePos x="0" y="0"/>
            <wp:positionH relativeFrom="column">
              <wp:posOffset>-10160</wp:posOffset>
            </wp:positionH>
            <wp:positionV relativeFrom="paragraph">
              <wp:posOffset>102919</wp:posOffset>
            </wp:positionV>
            <wp:extent cx="2187526" cy="1269683"/>
            <wp:effectExtent l="0" t="0" r="0" b="635"/>
            <wp:wrapTight wrapText="bothSides">
              <wp:wrapPolygon edited="0">
                <wp:start x="0" y="0"/>
                <wp:lineTo x="0" y="21395"/>
                <wp:lineTo x="21449" y="21395"/>
                <wp:lineTo x="2144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2-03-21 at 12.18.3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26" cy="126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Our core principle was to take a holistic approach in development of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chip</w:t>
      </w:r>
      <w:r w:rsidR="000D59CF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therefore putting the engineering and design work in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foreground.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O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ur 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resulting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solution is based around chip design</w:t>
      </w:r>
      <w:r w:rsidR="000607F2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perfection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and material combination that is suitable for mass manufacturing and</w:t>
      </w:r>
      <w:r w:rsidR="000607F2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precise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organ </w:t>
      </w:r>
      <w:r w:rsidR="004607D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function recapitulation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. For development of an easy to use, plug-and play system suitable for higher throughputs</w:t>
      </w:r>
      <w:r w:rsidR="00B43101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,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we are partnering with </w:t>
      </w:r>
      <w:proofErr w:type="spellStart"/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Cellbox</w:t>
      </w:r>
      <w:proofErr w:type="spellEnd"/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 Labs LLC </w:t>
      </w:r>
      <w:r w:rsidR="004607D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that is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develop</w:t>
      </w:r>
      <w:r w:rsidR="004607DA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ing a chip-compatible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instrument. </w:t>
      </w:r>
    </w:p>
    <w:p w14:paraId="05047107" w14:textId="2EA19BF3" w:rsidR="00A41ACE" w:rsidRPr="004D2683" w:rsidRDefault="00D30E58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right="-31"/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</w:pPr>
      <w:r w:rsidRPr="004D2683">
        <w:rPr>
          <w:rFonts w:ascii="Trebuchet MS" w:hAnsi="Trebuchet MS"/>
          <w:b/>
          <w:bCs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30E75F71" wp14:editId="59491162">
            <wp:simplePos x="0" y="0"/>
            <wp:positionH relativeFrom="column">
              <wp:posOffset>2773680</wp:posOffset>
            </wp:positionH>
            <wp:positionV relativeFrom="paragraph">
              <wp:posOffset>118794</wp:posOffset>
            </wp:positionV>
            <wp:extent cx="2996760" cy="1979323"/>
            <wp:effectExtent l="0" t="0" r="63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60" cy="197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7DA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>Our technology f</w:t>
      </w:r>
      <w:r w:rsidR="008903E4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eatures: </w:t>
      </w:r>
    </w:p>
    <w:p w14:paraId="1670C42E" w14:textId="08E88E40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Use of small molecule non-absorbing materials </w:t>
      </w:r>
    </w:p>
    <w:p w14:paraId="7F22D9BF" w14:textId="7777777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Materials suitable for volume manufacturing </w:t>
      </w:r>
    </w:p>
    <w:p w14:paraId="770867B3" w14:textId="7777777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Less gas-permeable materials </w:t>
      </w:r>
    </w:p>
    <w:p w14:paraId="187F2CD9" w14:textId="7777777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Integrated oxygen and TEER sensors in the chip </w:t>
      </w:r>
    </w:p>
    <w:p w14:paraId="61E84D2F" w14:textId="697894F2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High transparency across 300-800 nm wavelengths and thin bottom lid </w:t>
      </w:r>
    </w:p>
    <w:p w14:paraId="51F6E8DF" w14:textId="77777777" w:rsidR="004D2683" w:rsidRPr="004D2683" w:rsidRDefault="004D2683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</w:p>
    <w:p w14:paraId="27E5E170" w14:textId="6A9A22C4" w:rsidR="00A41ACE" w:rsidRPr="004D2683" w:rsidRDefault="00B553DC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right="-31"/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</w:pPr>
      <w:r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Resulting in </w:t>
      </w:r>
      <w:r w:rsidR="003A129F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the </w:t>
      </w:r>
      <w:r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>following c</w:t>
      </w:r>
      <w:r w:rsidR="008903E4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ustomer </w:t>
      </w:r>
      <w:r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>benefits</w:t>
      </w:r>
      <w:r w:rsidR="008903E4" w:rsidRPr="004D2683">
        <w:rPr>
          <w:rFonts w:ascii="Trebuchet MS" w:eastAsia="Trebuchet MS" w:hAnsi="Trebuchet MS" w:cs="Trebuchet MS"/>
          <w:b/>
          <w:bCs/>
          <w:color w:val="000000"/>
          <w:sz w:val="20"/>
          <w:szCs w:val="20"/>
          <w:lang w:val="en-GB"/>
        </w:rPr>
        <w:t xml:space="preserve">: </w:t>
      </w:r>
    </w:p>
    <w:p w14:paraId="3906459A" w14:textId="694CBDEF" w:rsidR="001E1C40" w:rsidRPr="004D2683" w:rsidRDefault="00ED70F1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noProof/>
          <w:color w:val="00000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24A2787" wp14:editId="3794B814">
                <wp:simplePos x="0" y="0"/>
                <wp:positionH relativeFrom="column">
                  <wp:posOffset>2978150</wp:posOffset>
                </wp:positionH>
                <wp:positionV relativeFrom="paragraph">
                  <wp:posOffset>147271</wp:posOffset>
                </wp:positionV>
                <wp:extent cx="2799080" cy="158940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63" y="21402"/>
                    <wp:lineTo x="21463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080" cy="158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8E3672" w14:textId="77777777" w:rsidR="00ED70F1" w:rsidRPr="004D2683" w:rsidRDefault="00ED70F1" w:rsidP="004D2683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right="-31" w:firstLine="377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Potential applications: </w:t>
                            </w:r>
                          </w:p>
                          <w:p w14:paraId="01CB5882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Drug candidate discovery </w:t>
                            </w:r>
                          </w:p>
                          <w:p w14:paraId="710F2354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Drug and treatment testing </w:t>
                            </w:r>
                          </w:p>
                          <w:p w14:paraId="6CCB3EE2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Early-stage pharmacology studies </w:t>
                            </w:r>
                          </w:p>
                          <w:p w14:paraId="4C384E20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Disease modelling </w:t>
                            </w:r>
                          </w:p>
                          <w:p w14:paraId="2719FC5D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PK/PD studies </w:t>
                            </w:r>
                          </w:p>
                          <w:p w14:paraId="2AF3545A" w14:textId="77777777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Preclinical toxicology testing </w:t>
                            </w:r>
                          </w:p>
                          <w:p w14:paraId="587E246E" w14:textId="11E2E9FE" w:rsidR="00ED70F1" w:rsidRPr="004D2683" w:rsidRDefault="00ED70F1" w:rsidP="00C960D9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ind w:left="377" w:right="-31"/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D2683">
                              <w:rPr>
                                <w:rFonts w:ascii="Trebuchet MS" w:eastAsia="Noto Sans Symbols" w:hAnsi="Trebuchet MS" w:cs="Noto Sans Symbol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• </w:t>
                            </w:r>
                            <w:r w:rsidRPr="004D268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Personalised patient model system development and storage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24A27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.5pt;margin-top:11.6pt;width:220.4pt;height:125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" fillcolor="white [3201]" stroked="f" strokeweight=".5pt">
                <v:textbox>
                  <w:txbxContent>
                    <w:p w14:paraId="038E3672" w14:textId="77777777" w:rsidR="00ED70F1" w:rsidRPr="004D2683" w:rsidRDefault="00ED70F1" w:rsidP="004D2683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right="-31" w:firstLine="377"/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Potential applications: </w:t>
                      </w:r>
                    </w:p>
                    <w:p w14:paraId="01CB5882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Drug candidate discovery </w:t>
                      </w:r>
                    </w:p>
                    <w:p w14:paraId="710F2354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Drug and treatment testing </w:t>
                      </w:r>
                    </w:p>
                    <w:p w14:paraId="6CCB3EE2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Early-stage pharmacology studies </w:t>
                      </w:r>
                    </w:p>
                    <w:p w14:paraId="4C384E20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Disease modelling </w:t>
                      </w:r>
                    </w:p>
                    <w:p w14:paraId="2719FC5D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PK/PD studies </w:t>
                      </w:r>
                    </w:p>
                    <w:p w14:paraId="2AF3545A" w14:textId="77777777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Preclinical toxicology testing </w:t>
                      </w:r>
                    </w:p>
                    <w:p w14:paraId="587E246E" w14:textId="11E2E9FE" w:rsidR="00ED70F1" w:rsidRPr="004D2683" w:rsidRDefault="00ED70F1" w:rsidP="00C960D9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ind w:left="377" w:right="-31"/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4D2683">
                        <w:rPr>
                          <w:rFonts w:ascii="Trebuchet MS" w:eastAsia="Noto Sans Symbols" w:hAnsi="Trebuchet MS" w:cs="Noto Sans Symbol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• </w:t>
                      </w:r>
                      <w:r w:rsidRPr="004D268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szCs w:val="20"/>
                          <w:lang w:val="en-GB"/>
                        </w:rPr>
                        <w:t xml:space="preserve">Personalised patient model system development and storage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3E4"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More repeatable and accurate biological </w:t>
      </w:r>
      <w:r w:rsidR="008903E4" w:rsidRPr="004D2683">
        <w:rPr>
          <w:rFonts w:ascii="Trebuchet MS" w:eastAsia="Trebuchet MS" w:hAnsi="Trebuchet MS" w:cs="Trebuchet MS"/>
          <w:i/>
          <w:color w:val="000000"/>
          <w:sz w:val="20"/>
          <w:szCs w:val="20"/>
          <w:lang w:val="en-GB"/>
        </w:rPr>
        <w:t xml:space="preserve">in vitro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model </w:t>
      </w:r>
      <w:r w:rsidR="00D30E58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for precise decision making</w:t>
      </w:r>
    </w:p>
    <w:p w14:paraId="40A8FC76" w14:textId="19122CC8" w:rsidR="007E1A3D" w:rsidRPr="004D2683" w:rsidRDefault="001E1C40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Easy to integrate, use and operate for scientists &amp; researchers</w:t>
      </w:r>
    </w:p>
    <w:p w14:paraId="2DEA1AB4" w14:textId="77777777" w:rsidR="00D30E58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Truly anaerobic conditions in channels with highly controllable gas conditions </w:t>
      </w:r>
    </w:p>
    <w:p w14:paraId="090F2B15" w14:textId="40EBF657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5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Devices suitable for high resolution microscopy </w:t>
      </w:r>
    </w:p>
    <w:p w14:paraId="30F51B5C" w14:textId="00B1A5A5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Significantly reduced biological variation</w:t>
      </w:r>
    </w:p>
    <w:p w14:paraId="462756FD" w14:textId="2F90F764" w:rsidR="00A41ACE" w:rsidRPr="004D2683" w:rsidRDefault="008903E4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</w:pPr>
      <w:r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="00B553DC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Increased </w:t>
      </w:r>
      <w:r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 xml:space="preserve">experimental throughput </w:t>
      </w:r>
    </w:p>
    <w:p w14:paraId="6E40F515" w14:textId="3D036227" w:rsidR="00A96364" w:rsidRPr="004D2683" w:rsidRDefault="00ED70F1" w:rsidP="004D26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31"/>
        <w:rPr>
          <w:rFonts w:ascii="Trebuchet MS" w:eastAsia="Trebuchet MS" w:hAnsi="Trebuchet MS" w:cs="Trebuchet MS"/>
          <w:color w:val="000000"/>
          <w:sz w:val="13"/>
          <w:szCs w:val="13"/>
          <w:lang w:val="en-GB"/>
        </w:rPr>
      </w:pPr>
      <w:r w:rsidRPr="004D2683">
        <w:rPr>
          <w:rFonts w:ascii="Trebuchet MS" w:eastAsia="Noto Sans Symbols" w:hAnsi="Trebuchet MS" w:cs="Noto Sans Symbols"/>
          <w:noProof/>
          <w:color w:val="000000"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42BB65" wp14:editId="6A9A5AEC">
                <wp:simplePos x="0" y="0"/>
                <wp:positionH relativeFrom="column">
                  <wp:posOffset>-81866</wp:posOffset>
                </wp:positionH>
                <wp:positionV relativeFrom="paragraph">
                  <wp:posOffset>272415</wp:posOffset>
                </wp:positionV>
                <wp:extent cx="5661660" cy="1236980"/>
                <wp:effectExtent l="0" t="0" r="2540" b="0"/>
                <wp:wrapTight wrapText="bothSides">
                  <wp:wrapPolygon edited="0">
                    <wp:start x="0" y="0"/>
                    <wp:lineTo x="0" y="21290"/>
                    <wp:lineTo x="21561" y="21290"/>
                    <wp:lineTo x="2156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660" cy="12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15C77" w14:textId="1DAF4AAC" w:rsidR="00ED70F1" w:rsidRPr="004D2683" w:rsidRDefault="00EA7529" w:rsidP="00ED70F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120" w:line="240" w:lineRule="auto"/>
                              <w:ind w:right="-31"/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B</w:t>
                            </w:r>
                            <w:r w:rsidR="00ED70F1" w:rsidRPr="004D2683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iological testing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status</w:t>
                            </w:r>
                            <w:r w:rsidR="00ED70F1" w:rsidRPr="004D2683">
                              <w:rPr>
                                <w:rFonts w:ascii="Trebuchet MS" w:eastAsia="Trebuchet MS" w:hAnsi="Trebuchet MS" w:cs="Trebuchet M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0D7525B7" w14:textId="06482D60" w:rsidR="00ED70F1" w:rsidRPr="00C960D9" w:rsidRDefault="00ED70F1" w:rsidP="004D2683">
                            <w:pPr>
                              <w:widowControl w:val="0"/>
                              <w:spacing w:before="120" w:after="20" w:line="216" w:lineRule="auto"/>
                              <w:ind w:right="-31"/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• Initial model demonstrated with stable cell lines of C</w:t>
                            </w:r>
                            <w:r w:rsidR="005C393B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</w:t>
                            </w:r>
                            <w:r w:rsidR="005C393B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2 and HUVEC, iPSC model in development</w:t>
                            </w:r>
                          </w:p>
                          <w:p w14:paraId="62348F4E" w14:textId="1536A843" w:rsidR="00ED70F1" w:rsidRPr="00C960D9" w:rsidRDefault="00ED70F1" w:rsidP="004D2683">
                            <w:pPr>
                              <w:widowControl w:val="0"/>
                              <w:spacing w:after="20" w:line="216" w:lineRule="auto"/>
                              <w:ind w:right="-31"/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• Our model performs from 20 – 30% better than current state of the art</w:t>
                            </w:r>
                            <w:r w:rsidR="000607F2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OOC</w:t>
                            </w: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in terms of saving time and barrier replication accuracy</w:t>
                            </w:r>
                          </w:p>
                          <w:p w14:paraId="594D2687" w14:textId="1CD8F7CE" w:rsidR="00ED70F1" w:rsidRPr="00C960D9" w:rsidRDefault="00ED70F1" w:rsidP="004D2683">
                            <w:pPr>
                              <w:widowControl w:val="0"/>
                              <w:spacing w:after="20" w:line="216" w:lineRule="auto"/>
                              <w:ind w:right="-31"/>
                              <w:rPr>
                                <w:rFonts w:ascii="Calibri" w:eastAsia="Calibri" w:hAnsi="Calibri" w:cs="Calibri"/>
                                <w:color w:val="000000" w:themeColor="text1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C960D9"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• We have demonstrated for the first time that a patient-derived diverse anaerobic microbiota can be cultured in a gut on chip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642B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45pt;margin-top:21.45pt;width:445.8pt;height:97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" fillcolor="white [3201]" stroked="f" strokeweight=".5pt">
                <v:textbox>
                  <w:txbxContent>
                    <w:p w14:paraId="73F15C77" w14:textId="1DAF4AAC" w:rsidR="00ED70F1" w:rsidRPr="004D2683" w:rsidRDefault="00EA7529" w:rsidP="00ED70F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before="120" w:line="240" w:lineRule="auto"/>
                        <w:ind w:right="-31"/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B</w:t>
                      </w:r>
                      <w:r w:rsidR="00ED70F1" w:rsidRPr="004D2683"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iological testing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status</w:t>
                      </w:r>
                      <w:r w:rsidR="00ED70F1" w:rsidRPr="004D2683">
                        <w:rPr>
                          <w:rFonts w:ascii="Trebuchet MS" w:eastAsia="Trebuchet MS" w:hAnsi="Trebuchet MS" w:cs="Trebuchet MS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:</w:t>
                      </w:r>
                    </w:p>
                    <w:p w14:paraId="0D7525B7" w14:textId="06482D60" w:rsidR="00ED70F1" w:rsidRPr="00C960D9" w:rsidRDefault="00ED70F1" w:rsidP="004D2683">
                      <w:pPr>
                        <w:widowControl w:val="0"/>
                        <w:spacing w:before="120" w:after="20" w:line="216" w:lineRule="auto"/>
                        <w:ind w:right="-31"/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• Initial model demonstrated with stable cell lines of C</w:t>
                      </w:r>
                      <w:r w:rsidR="005C393B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a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</w:t>
                      </w:r>
                      <w:r w:rsidR="005C393B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o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2 and HUVEC, iPSC model in development</w:t>
                      </w:r>
                    </w:p>
                    <w:p w14:paraId="62348F4E" w14:textId="1536A843" w:rsidR="00ED70F1" w:rsidRPr="00C960D9" w:rsidRDefault="00ED70F1" w:rsidP="004D2683">
                      <w:pPr>
                        <w:widowControl w:val="0"/>
                        <w:spacing w:after="20" w:line="216" w:lineRule="auto"/>
                        <w:ind w:right="-31"/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• Our model performs from 20 – 30% better than current state of the art</w:t>
                      </w:r>
                      <w:r w:rsidR="000607F2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OOC</w:t>
                      </w: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in terms of saving time and barrier replication accuracy</w:t>
                      </w:r>
                    </w:p>
                    <w:p w14:paraId="594D2687" w14:textId="1CD8F7CE" w:rsidR="00ED70F1" w:rsidRPr="00C960D9" w:rsidRDefault="00ED70F1" w:rsidP="004D2683">
                      <w:pPr>
                        <w:widowControl w:val="0"/>
                        <w:spacing w:after="20" w:line="216" w:lineRule="auto"/>
                        <w:ind w:right="-31"/>
                        <w:rPr>
                          <w:rFonts w:ascii="Calibri" w:eastAsia="Calibri" w:hAnsi="Calibri" w:cs="Calibri"/>
                          <w:color w:val="000000" w:themeColor="text1"/>
                          <w:sz w:val="19"/>
                          <w:szCs w:val="19"/>
                          <w:lang w:val="en-GB"/>
                        </w:rPr>
                      </w:pPr>
                      <w:r w:rsidRPr="00C960D9">
                        <w:rPr>
                          <w:rFonts w:ascii="Trebuchet MS" w:eastAsia="Trebuchet MS" w:hAnsi="Trebuchet MS" w:cs="Trebuchet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• We have demonstrated for the first time that a patient-derived diverse anaerobic microbiota can be cultured in a gut on chip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903E4" w:rsidRPr="004D2683">
        <w:rPr>
          <w:rFonts w:ascii="Trebuchet MS" w:eastAsia="Noto Sans Symbols" w:hAnsi="Trebuchet MS" w:cs="Noto Sans Symbols"/>
          <w:color w:val="000000"/>
          <w:sz w:val="20"/>
          <w:szCs w:val="20"/>
          <w:lang w:val="en-GB"/>
        </w:rPr>
        <w:t xml:space="preserve">• </w:t>
      </w:r>
      <w:r w:rsidR="008903E4" w:rsidRPr="004D2683">
        <w:rPr>
          <w:rFonts w:ascii="Trebuchet MS" w:eastAsia="Trebuchet MS" w:hAnsi="Trebuchet MS" w:cs="Trebuchet MS"/>
          <w:color w:val="000000"/>
          <w:sz w:val="20"/>
          <w:szCs w:val="20"/>
          <w:lang w:val="en-GB"/>
        </w:rPr>
        <w:t>Automated experimental data read-out</w:t>
      </w:r>
      <w:r w:rsidR="001E1C40" w:rsidRPr="004D2683">
        <w:rPr>
          <w:rStyle w:val="FootnoteReference"/>
          <w:rFonts w:ascii="Trebuchet MS" w:eastAsia="Trebuchet MS" w:hAnsi="Trebuchet MS" w:cs="Trebuchet MS"/>
          <w:color w:val="000000"/>
          <w:sz w:val="20"/>
          <w:szCs w:val="20"/>
          <w:lang w:val="en-GB"/>
        </w:rPr>
        <w:footnoteReference w:id="2"/>
      </w:r>
      <w:r w:rsidR="008903E4" w:rsidRPr="004D2683">
        <w:rPr>
          <w:rFonts w:ascii="Trebuchet MS" w:eastAsia="Trebuchet MS" w:hAnsi="Trebuchet MS" w:cs="Trebuchet MS"/>
          <w:color w:val="000000"/>
          <w:sz w:val="13"/>
          <w:szCs w:val="13"/>
          <w:lang w:val="en-GB"/>
        </w:rPr>
        <w:t xml:space="preserve"> </w:t>
      </w:r>
    </w:p>
    <w:sectPr w:rsidR="00A96364" w:rsidRPr="004D2683">
      <w:footerReference w:type="default" r:id="rId12"/>
      <w:pgSz w:w="11900" w:h="16840"/>
      <w:pgMar w:top="191" w:right="1200" w:bottom="764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C4CC" w14:textId="77777777" w:rsidR="007744DE" w:rsidRDefault="007744DE" w:rsidP="00A96364">
      <w:pPr>
        <w:spacing w:line="240" w:lineRule="auto"/>
      </w:pPr>
      <w:r>
        <w:separator/>
      </w:r>
    </w:p>
  </w:endnote>
  <w:endnote w:type="continuationSeparator" w:id="0">
    <w:p w14:paraId="20188DE6" w14:textId="77777777" w:rsidR="007744DE" w:rsidRDefault="007744DE" w:rsidP="00A96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A5ED" w14:textId="2541E36A" w:rsidR="00ED70F1" w:rsidRPr="00C960D9" w:rsidRDefault="00ED70F1" w:rsidP="00ED70F1">
    <w:pPr>
      <w:widowControl w:val="0"/>
      <w:pBdr>
        <w:top w:val="nil"/>
        <w:left w:val="nil"/>
        <w:bottom w:val="nil"/>
        <w:right w:val="nil"/>
        <w:between w:val="nil"/>
      </w:pBdr>
      <w:spacing w:before="262" w:line="248" w:lineRule="auto"/>
      <w:ind w:left="765" w:right="-31"/>
      <w:jc w:val="center"/>
      <w:rPr>
        <w:rFonts w:ascii="Trebuchet MS" w:eastAsia="Calibri" w:hAnsi="Trebuchet MS" w:cs="Calibri"/>
        <w:color w:val="000000"/>
        <w:sz w:val="18"/>
        <w:szCs w:val="18"/>
        <w:lang w:val="en-GB"/>
      </w:rPr>
    </w:pPr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Institute of </w:t>
    </w:r>
    <w:proofErr w:type="gramStart"/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>Solid State</w:t>
    </w:r>
    <w:proofErr w:type="gramEnd"/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 Physics, University of Latvia | </w:t>
    </w:r>
    <w:proofErr w:type="spellStart"/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>Kengaraga</w:t>
    </w:r>
    <w:proofErr w:type="spellEnd"/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 street 8, Riga, Latvia Contacts: </w:t>
    </w:r>
    <w:r w:rsidRPr="00C960D9">
      <w:rPr>
        <w:rFonts w:ascii="Trebuchet MS" w:eastAsia="Calibri" w:hAnsi="Trebuchet MS" w:cs="Calibri"/>
        <w:color w:val="000000"/>
        <w:sz w:val="18"/>
        <w:szCs w:val="18"/>
        <w:u w:val="single"/>
        <w:lang w:val="en-GB"/>
      </w:rPr>
      <w:t xml:space="preserve">girts.ozolins@cfi.lu.lv </w:t>
    </w:r>
    <w:r w:rsidRPr="00C960D9">
      <w:rPr>
        <w:rFonts w:ascii="Trebuchet MS" w:eastAsia="Calibri" w:hAnsi="Trebuchet MS" w:cs="Calibri"/>
        <w:color w:val="000000"/>
        <w:sz w:val="18"/>
        <w:szCs w:val="18"/>
        <w:lang w:val="en-GB"/>
      </w:rPr>
      <w:t xml:space="preserve">| +371 26522982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3BAC" w14:textId="77777777" w:rsidR="007744DE" w:rsidRDefault="007744DE" w:rsidP="00A96364">
      <w:pPr>
        <w:spacing w:line="240" w:lineRule="auto"/>
      </w:pPr>
      <w:r>
        <w:separator/>
      </w:r>
    </w:p>
  </w:footnote>
  <w:footnote w:type="continuationSeparator" w:id="0">
    <w:p w14:paraId="71541D8B" w14:textId="77777777" w:rsidR="007744DE" w:rsidRDefault="007744DE" w:rsidP="00A96364">
      <w:pPr>
        <w:spacing w:line="240" w:lineRule="auto"/>
      </w:pPr>
      <w:r>
        <w:continuationSeparator/>
      </w:r>
    </w:p>
  </w:footnote>
  <w:footnote w:id="1">
    <w:p w14:paraId="5E35ED5F" w14:textId="5BF534C8" w:rsidR="000A568A" w:rsidRPr="000A568A" w:rsidRDefault="000A568A" w:rsidP="000A568A">
      <w:pPr>
        <w:rPr>
          <w:rFonts w:ascii="Trebuchet MS" w:eastAsia="Times New Roman" w:hAnsi="Trebuchet MS" w:cs="Times New Roman"/>
          <w:sz w:val="16"/>
          <w:szCs w:val="16"/>
        </w:rPr>
      </w:pPr>
      <w:r w:rsidRPr="000A568A">
        <w:rPr>
          <w:rStyle w:val="FootnoteReference"/>
          <w:rFonts w:ascii="Trebuchet MS" w:hAnsi="Trebuchet MS"/>
          <w:sz w:val="16"/>
          <w:szCs w:val="16"/>
        </w:rPr>
        <w:footnoteRef/>
      </w:r>
      <w:r w:rsidRPr="000A568A">
        <w:rPr>
          <w:rFonts w:ascii="Trebuchet MS" w:hAnsi="Trebuchet MS"/>
          <w:sz w:val="16"/>
          <w:szCs w:val="16"/>
        </w:rPr>
        <w:t xml:space="preserve"> </w:t>
      </w:r>
      <w:r w:rsidRPr="000A568A">
        <w:rPr>
          <w:rFonts w:ascii="Trebuchet MS" w:eastAsia="Times New Roman" w:hAnsi="Trebuchet MS" w:cs="Times New Roman"/>
          <w:color w:val="020202"/>
          <w:sz w:val="16"/>
          <w:szCs w:val="16"/>
          <w:shd w:val="clear" w:color="auto" w:fill="FFFFFF"/>
        </w:rPr>
        <w:t>Front. Pharmacol., 19 February 2021 | </w:t>
      </w:r>
      <w:hyperlink r:id="rId1" w:history="1">
        <w:r w:rsidRPr="000A568A">
          <w:rPr>
            <w:rFonts w:ascii="Trebuchet MS" w:eastAsia="Times New Roman" w:hAnsi="Trebuchet MS" w:cs="Times New Roman"/>
            <w:color w:val="D54449"/>
            <w:sz w:val="16"/>
            <w:szCs w:val="16"/>
            <w:u w:val="single"/>
            <w:shd w:val="clear" w:color="auto" w:fill="FFFFFF"/>
          </w:rPr>
          <w:t>https://doi.org/10.3389/fphar.2021.618411</w:t>
        </w:r>
      </w:hyperlink>
    </w:p>
  </w:footnote>
  <w:footnote w:id="2">
    <w:p w14:paraId="49E90E78" w14:textId="180BD71B" w:rsidR="001E1C40" w:rsidRPr="00ED70F1" w:rsidRDefault="001E1C40">
      <w:pPr>
        <w:pStyle w:val="FootnoteText"/>
        <w:rPr>
          <w:rFonts w:ascii="Trebuchet MS" w:eastAsia="Calibri" w:hAnsi="Trebuchet MS" w:cs="Calibri"/>
          <w:color w:val="000000"/>
          <w:sz w:val="16"/>
          <w:szCs w:val="16"/>
          <w:lang w:val="lv-LV"/>
        </w:rPr>
      </w:pPr>
      <w:r w:rsidRPr="000A568A">
        <w:rPr>
          <w:rStyle w:val="FootnoteReference"/>
          <w:rFonts w:ascii="Trebuchet MS" w:hAnsi="Trebuchet MS"/>
          <w:sz w:val="16"/>
          <w:szCs w:val="16"/>
        </w:rPr>
        <w:footnoteRef/>
      </w:r>
      <w:r w:rsidRPr="000A568A">
        <w:rPr>
          <w:rStyle w:val="FootnoteReference"/>
          <w:rFonts w:ascii="Trebuchet MS" w:hAnsi="Trebuchet MS"/>
          <w:sz w:val="16"/>
          <w:szCs w:val="16"/>
        </w:rPr>
        <w:t xml:space="preserve"> </w:t>
      </w:r>
      <w:r w:rsidRPr="000A568A">
        <w:rPr>
          <w:rFonts w:ascii="Trebuchet MS" w:eastAsia="Calibri" w:hAnsi="Trebuchet MS" w:cs="Calibri"/>
          <w:color w:val="000000"/>
          <w:sz w:val="16"/>
          <w:szCs w:val="16"/>
        </w:rPr>
        <w:t>TEER and Oxygen data readout when used in conjunction with the system developed by Cellbox Labs</w:t>
      </w:r>
      <w:r w:rsidR="000A568A" w:rsidRPr="000A568A">
        <w:rPr>
          <w:rFonts w:ascii="Trebuchet MS" w:eastAsia="Calibri" w:hAnsi="Trebuchet MS" w:cs="Calibri"/>
          <w:color w:val="000000"/>
          <w:sz w:val="16"/>
          <w:szCs w:val="16"/>
          <w:lang w:val="lv-LV"/>
        </w:rPr>
        <w:t xml:space="preserve"> LLC</w:t>
      </w:r>
      <w:r w:rsidRPr="000A568A">
        <w:rPr>
          <w:rFonts w:ascii="Trebuchet MS" w:eastAsia="Calibri" w:hAnsi="Trebuchet MS" w:cs="Calibri"/>
          <w:color w:val="000000"/>
          <w:sz w:val="16"/>
          <w:szCs w:val="16"/>
          <w:lang w:val="lv-LV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06C0"/>
    <w:multiLevelType w:val="multilevel"/>
    <w:tmpl w:val="47C81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CE"/>
    <w:rsid w:val="000607F2"/>
    <w:rsid w:val="000A568A"/>
    <w:rsid w:val="000B36B6"/>
    <w:rsid w:val="000D59CF"/>
    <w:rsid w:val="001C1A92"/>
    <w:rsid w:val="001E1C40"/>
    <w:rsid w:val="002264D1"/>
    <w:rsid w:val="002D66C7"/>
    <w:rsid w:val="00394DE1"/>
    <w:rsid w:val="003A129F"/>
    <w:rsid w:val="00432490"/>
    <w:rsid w:val="004607DA"/>
    <w:rsid w:val="004D2683"/>
    <w:rsid w:val="005C393B"/>
    <w:rsid w:val="00691EF5"/>
    <w:rsid w:val="00770EEC"/>
    <w:rsid w:val="007744DE"/>
    <w:rsid w:val="007E1A3D"/>
    <w:rsid w:val="008903E4"/>
    <w:rsid w:val="008E0029"/>
    <w:rsid w:val="009B61C4"/>
    <w:rsid w:val="00A41ACE"/>
    <w:rsid w:val="00A96364"/>
    <w:rsid w:val="00B43101"/>
    <w:rsid w:val="00B553DC"/>
    <w:rsid w:val="00B83A3B"/>
    <w:rsid w:val="00BE62C0"/>
    <w:rsid w:val="00C960D9"/>
    <w:rsid w:val="00D04CD2"/>
    <w:rsid w:val="00D30E58"/>
    <w:rsid w:val="00DB209F"/>
    <w:rsid w:val="00EA7529"/>
    <w:rsid w:val="00ED70F1"/>
    <w:rsid w:val="00F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A8897"/>
  <w15:docId w15:val="{0E32DE6F-88F7-5247-A6BF-4E1569EB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LV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96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3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64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3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36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D59CF"/>
    <w:pPr>
      <w:spacing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A56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0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0F1"/>
  </w:style>
  <w:style w:type="paragraph" w:styleId="Footer">
    <w:name w:val="footer"/>
    <w:basedOn w:val="Normal"/>
    <w:link w:val="FooterChar"/>
    <w:uiPriority w:val="99"/>
    <w:unhideWhenUsed/>
    <w:rsid w:val="00ED70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389/fphar.2021.618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EBE9C7-27B3-C446-845D-69C79263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 Roper</dc:creator>
  <cp:lastModifiedBy>Microsoft Office User</cp:lastModifiedBy>
  <cp:revision>3</cp:revision>
  <dcterms:created xsi:type="dcterms:W3CDTF">2022-05-24T07:19:00Z</dcterms:created>
  <dcterms:modified xsi:type="dcterms:W3CDTF">2022-05-24T07:30:00Z</dcterms:modified>
</cp:coreProperties>
</file>